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75680" w14:textId="6C79448C" w:rsidR="0002330A" w:rsidRPr="0002330A" w:rsidRDefault="0002330A" w:rsidP="0002330A">
      <w:pPr>
        <w:jc w:val="center"/>
        <w:rPr>
          <w:b/>
          <w:bCs/>
          <w:sz w:val="32"/>
          <w:szCs w:val="32"/>
        </w:rPr>
      </w:pPr>
      <w:r w:rsidRPr="0002330A">
        <w:rPr>
          <w:b/>
          <w:bCs/>
          <w:sz w:val="32"/>
          <w:szCs w:val="32"/>
        </w:rPr>
        <w:t>Job Aid</w:t>
      </w:r>
      <w:r>
        <w:rPr>
          <w:b/>
          <w:bCs/>
          <w:sz w:val="32"/>
          <w:szCs w:val="32"/>
        </w:rPr>
        <w:t>:</w:t>
      </w:r>
      <w:r w:rsidRPr="0002330A">
        <w:rPr>
          <w:b/>
          <w:bCs/>
          <w:sz w:val="32"/>
          <w:szCs w:val="32"/>
        </w:rPr>
        <w:t xml:space="preserve"> </w:t>
      </w:r>
      <w:r>
        <w:rPr>
          <w:b/>
          <w:bCs/>
          <w:sz w:val="32"/>
          <w:szCs w:val="32"/>
        </w:rPr>
        <w:t xml:space="preserve">Record </w:t>
      </w:r>
      <w:r w:rsidRPr="0002330A">
        <w:rPr>
          <w:b/>
          <w:bCs/>
          <w:sz w:val="32"/>
          <w:szCs w:val="32"/>
        </w:rPr>
        <w:t>Process Steps</w:t>
      </w:r>
    </w:p>
    <w:tbl>
      <w:tblPr>
        <w:tblW w:w="8680" w:type="dxa"/>
        <w:tblInd w:w="93" w:type="dxa"/>
        <w:tblLook w:val="04A0" w:firstRow="1" w:lastRow="0" w:firstColumn="1" w:lastColumn="0" w:noHBand="0" w:noVBand="1"/>
      </w:tblPr>
      <w:tblGrid>
        <w:gridCol w:w="2580"/>
        <w:gridCol w:w="6100"/>
      </w:tblGrid>
      <w:tr w:rsidR="00DD0508" w:rsidRPr="00DD0508" w14:paraId="79E60A3E" w14:textId="77777777" w:rsidTr="0002330A">
        <w:trPr>
          <w:trHeight w:val="360"/>
          <w:tblHeader/>
        </w:trPr>
        <w:tc>
          <w:tcPr>
            <w:tcW w:w="2580" w:type="dxa"/>
            <w:tcBorders>
              <w:top w:val="single" w:sz="4" w:space="0" w:color="auto"/>
              <w:left w:val="single" w:sz="4" w:space="0" w:color="auto"/>
              <w:bottom w:val="single" w:sz="4" w:space="0" w:color="auto"/>
              <w:right w:val="single" w:sz="4" w:space="0" w:color="auto"/>
            </w:tcBorders>
            <w:shd w:val="clear" w:color="000000" w:fill="D8D8D8"/>
            <w:noWrap/>
            <w:hideMark/>
          </w:tcPr>
          <w:p w14:paraId="281A4871" w14:textId="3EF3433D" w:rsidR="00DD0508" w:rsidRPr="00DD0508" w:rsidRDefault="00DD0508" w:rsidP="00DD0508">
            <w:pPr>
              <w:spacing w:after="0" w:line="240" w:lineRule="auto"/>
              <w:rPr>
                <w:rFonts w:ascii="Arial Narrow" w:eastAsia="Times New Roman" w:hAnsi="Arial Narrow" w:cs="Calibri"/>
                <w:b/>
                <w:bCs/>
                <w:color w:val="000000"/>
                <w:sz w:val="28"/>
                <w:szCs w:val="28"/>
              </w:rPr>
            </w:pPr>
            <w:r w:rsidRPr="00DD0508">
              <w:rPr>
                <w:rFonts w:ascii="Arial Narrow" w:eastAsia="Times New Roman" w:hAnsi="Arial Narrow" w:cs="Calibri"/>
                <w:b/>
                <w:bCs/>
                <w:color w:val="000000"/>
                <w:sz w:val="28"/>
                <w:szCs w:val="28"/>
              </w:rPr>
              <w:t>Activity Step</w:t>
            </w:r>
          </w:p>
        </w:tc>
        <w:tc>
          <w:tcPr>
            <w:tcW w:w="6100" w:type="dxa"/>
            <w:tcBorders>
              <w:top w:val="single" w:sz="4" w:space="0" w:color="auto"/>
              <w:left w:val="nil"/>
              <w:bottom w:val="single" w:sz="4" w:space="0" w:color="auto"/>
              <w:right w:val="single" w:sz="4" w:space="0" w:color="auto"/>
            </w:tcBorders>
            <w:shd w:val="clear" w:color="000000" w:fill="D8D8D8"/>
            <w:noWrap/>
            <w:hideMark/>
          </w:tcPr>
          <w:p w14:paraId="1359DFA9" w14:textId="77777777" w:rsidR="00DD0508" w:rsidRPr="00DD0508" w:rsidRDefault="00DD0508" w:rsidP="00DD0508">
            <w:pPr>
              <w:spacing w:after="0" w:line="240" w:lineRule="auto"/>
              <w:jc w:val="center"/>
              <w:rPr>
                <w:rFonts w:ascii="Arial Narrow" w:eastAsia="Times New Roman" w:hAnsi="Arial Narrow" w:cs="Calibri"/>
                <w:b/>
                <w:bCs/>
                <w:color w:val="000000"/>
                <w:sz w:val="28"/>
                <w:szCs w:val="28"/>
              </w:rPr>
            </w:pPr>
            <w:r w:rsidRPr="00DD0508">
              <w:rPr>
                <w:rFonts w:ascii="Arial Narrow" w:eastAsia="Times New Roman" w:hAnsi="Arial Narrow" w:cs="Calibri"/>
                <w:b/>
                <w:bCs/>
                <w:color w:val="000000"/>
                <w:sz w:val="28"/>
                <w:szCs w:val="28"/>
              </w:rPr>
              <w:t>What Happens</w:t>
            </w:r>
          </w:p>
        </w:tc>
      </w:tr>
      <w:tr w:rsidR="00DD0508" w:rsidRPr="00DD0508" w14:paraId="16AF15D8" w14:textId="77777777" w:rsidTr="00DD0508">
        <w:trPr>
          <w:trHeight w:val="872"/>
        </w:trPr>
        <w:tc>
          <w:tcPr>
            <w:tcW w:w="2580" w:type="dxa"/>
            <w:tcBorders>
              <w:top w:val="nil"/>
              <w:left w:val="nil"/>
              <w:bottom w:val="single" w:sz="4" w:space="0" w:color="auto"/>
              <w:right w:val="nil"/>
            </w:tcBorders>
            <w:shd w:val="clear" w:color="auto" w:fill="auto"/>
            <w:hideMark/>
          </w:tcPr>
          <w:p w14:paraId="0923E10A"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Approved forms, tags, and labels are available for use.</w:t>
            </w:r>
          </w:p>
        </w:tc>
        <w:tc>
          <w:tcPr>
            <w:tcW w:w="6100" w:type="dxa"/>
            <w:tcBorders>
              <w:top w:val="nil"/>
              <w:left w:val="nil"/>
              <w:bottom w:val="single" w:sz="4" w:space="0" w:color="auto"/>
              <w:right w:val="nil"/>
            </w:tcBorders>
            <w:shd w:val="clear" w:color="auto" w:fill="auto"/>
            <w:noWrap/>
            <w:hideMark/>
          </w:tcPr>
          <w:p w14:paraId="407D017E"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 </w:t>
            </w:r>
          </w:p>
        </w:tc>
      </w:tr>
      <w:tr w:rsidR="00DD0508" w:rsidRPr="00DD0508" w14:paraId="3E32C72A" w14:textId="77777777" w:rsidTr="00DD0508">
        <w:trPr>
          <w:trHeight w:val="1160"/>
        </w:trPr>
        <w:tc>
          <w:tcPr>
            <w:tcW w:w="2580" w:type="dxa"/>
            <w:tcBorders>
              <w:top w:val="nil"/>
              <w:left w:val="nil"/>
              <w:bottom w:val="single" w:sz="4" w:space="0" w:color="auto"/>
              <w:right w:val="nil"/>
            </w:tcBorders>
            <w:shd w:val="clear" w:color="auto" w:fill="auto"/>
            <w:hideMark/>
          </w:tcPr>
          <w:p w14:paraId="55E5B57E"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Record is created.</w:t>
            </w:r>
          </w:p>
        </w:tc>
        <w:tc>
          <w:tcPr>
            <w:tcW w:w="6100" w:type="dxa"/>
            <w:tcBorders>
              <w:top w:val="nil"/>
              <w:left w:val="nil"/>
              <w:bottom w:val="single" w:sz="4" w:space="0" w:color="auto"/>
              <w:right w:val="nil"/>
            </w:tcBorders>
            <w:shd w:val="clear" w:color="auto" w:fill="auto"/>
            <w:hideMark/>
          </w:tcPr>
          <w:p w14:paraId="68707B30"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The procedural steps explain how to fill-out a form, tag, or label as the work is being performed.  The captured information mu</w:t>
            </w:r>
            <w:bookmarkStart w:id="0" w:name="_GoBack"/>
            <w:bookmarkEnd w:id="0"/>
            <w:r w:rsidRPr="00DD0508">
              <w:rPr>
                <w:rFonts w:eastAsia="Times New Roman" w:cstheme="minorHAnsi"/>
                <w:color w:val="000000"/>
                <w:sz w:val="24"/>
                <w:szCs w:val="24"/>
              </w:rPr>
              <w:t xml:space="preserve">st be concurrent with the performance of the activity and legible. </w:t>
            </w:r>
          </w:p>
        </w:tc>
      </w:tr>
      <w:tr w:rsidR="00DD0508" w:rsidRPr="00DD0508" w14:paraId="427D39DD" w14:textId="77777777" w:rsidTr="00DD0508">
        <w:trPr>
          <w:trHeight w:val="2402"/>
        </w:trPr>
        <w:tc>
          <w:tcPr>
            <w:tcW w:w="2580" w:type="dxa"/>
            <w:tcBorders>
              <w:top w:val="nil"/>
              <w:left w:val="nil"/>
              <w:bottom w:val="single" w:sz="4" w:space="0" w:color="auto"/>
              <w:right w:val="nil"/>
            </w:tcBorders>
            <w:shd w:val="clear" w:color="auto" w:fill="auto"/>
            <w:hideMark/>
          </w:tcPr>
          <w:p w14:paraId="3D0F7139"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Internal amendment procedure is applied to record.</w:t>
            </w:r>
          </w:p>
        </w:tc>
        <w:tc>
          <w:tcPr>
            <w:tcW w:w="6100" w:type="dxa"/>
            <w:tcBorders>
              <w:top w:val="nil"/>
              <w:left w:val="nil"/>
              <w:bottom w:val="single" w:sz="4" w:space="0" w:color="auto"/>
              <w:right w:val="nil"/>
            </w:tcBorders>
            <w:shd w:val="clear" w:color="auto" w:fill="auto"/>
            <w:hideMark/>
          </w:tcPr>
          <w:p w14:paraId="14775ED1"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 xml:space="preserve">During this task, the original information is retained and not obliterated (e.g. no penciling-out, taping over it, destroying the original record, or using white-out). </w:t>
            </w:r>
            <w:r w:rsidRPr="00DD0508">
              <w:rPr>
                <w:rFonts w:eastAsia="Times New Roman" w:cstheme="minorHAnsi"/>
                <w:color w:val="000000"/>
                <w:sz w:val="24"/>
                <w:szCs w:val="24"/>
              </w:rPr>
              <w:br/>
              <w:t xml:space="preserve">The task captures:  </w:t>
            </w:r>
            <w:r w:rsidRPr="00DD0508">
              <w:rPr>
                <w:rFonts w:eastAsia="Times New Roman" w:cstheme="minorHAnsi"/>
                <w:color w:val="000000"/>
                <w:sz w:val="24"/>
                <w:szCs w:val="24"/>
              </w:rPr>
              <w:br/>
              <w:t xml:space="preserve">• how to make a change,      </w:t>
            </w:r>
            <w:r w:rsidRPr="00DD0508">
              <w:rPr>
                <w:rFonts w:eastAsia="Times New Roman" w:cstheme="minorHAnsi"/>
                <w:color w:val="000000"/>
                <w:sz w:val="24"/>
                <w:szCs w:val="24"/>
              </w:rPr>
              <w:br/>
              <w:t xml:space="preserve">• when the change was made, </w:t>
            </w:r>
            <w:r w:rsidRPr="00DD0508">
              <w:rPr>
                <w:rFonts w:eastAsia="Times New Roman" w:cstheme="minorHAnsi"/>
                <w:color w:val="000000"/>
                <w:sz w:val="24"/>
                <w:szCs w:val="24"/>
              </w:rPr>
              <w:br/>
              <w:t xml:space="preserve">• who made the change,      </w:t>
            </w:r>
            <w:r w:rsidRPr="00DD0508">
              <w:rPr>
                <w:rFonts w:eastAsia="Times New Roman" w:cstheme="minorHAnsi"/>
                <w:color w:val="000000"/>
                <w:sz w:val="24"/>
                <w:szCs w:val="24"/>
              </w:rPr>
              <w:br/>
              <w:t>• any additional follow-up action required.</w:t>
            </w:r>
          </w:p>
        </w:tc>
      </w:tr>
      <w:tr w:rsidR="00DD0508" w:rsidRPr="00DD0508" w14:paraId="02F503C0" w14:textId="77777777" w:rsidTr="00DD0508">
        <w:trPr>
          <w:trHeight w:val="2420"/>
        </w:trPr>
        <w:tc>
          <w:tcPr>
            <w:tcW w:w="2580" w:type="dxa"/>
            <w:tcBorders>
              <w:top w:val="nil"/>
              <w:left w:val="nil"/>
              <w:bottom w:val="nil"/>
              <w:right w:val="nil"/>
            </w:tcBorders>
            <w:shd w:val="clear" w:color="auto" w:fill="auto"/>
            <w:hideMark/>
          </w:tcPr>
          <w:p w14:paraId="5921A721"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 xml:space="preserve">External amendment procedure is applied to record.  </w:t>
            </w:r>
          </w:p>
        </w:tc>
        <w:tc>
          <w:tcPr>
            <w:tcW w:w="6100" w:type="dxa"/>
            <w:tcBorders>
              <w:top w:val="nil"/>
              <w:left w:val="nil"/>
              <w:bottom w:val="nil"/>
              <w:right w:val="nil"/>
            </w:tcBorders>
            <w:shd w:val="clear" w:color="auto" w:fill="auto"/>
            <w:hideMark/>
          </w:tcPr>
          <w:p w14:paraId="7B1580A4"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 xml:space="preserve">During this task, the incorrect or affected result is corrected.  Both the original and changed result is retained.  </w:t>
            </w:r>
            <w:r w:rsidRPr="00DD0508">
              <w:rPr>
                <w:rFonts w:eastAsia="Times New Roman" w:cstheme="minorHAnsi"/>
                <w:color w:val="000000"/>
                <w:sz w:val="24"/>
                <w:szCs w:val="24"/>
              </w:rPr>
              <w:br/>
              <w:t xml:space="preserve">If retrieved, both the original and corrected result documenting: </w:t>
            </w:r>
            <w:r w:rsidRPr="00DD0508">
              <w:rPr>
                <w:rFonts w:eastAsia="Times New Roman" w:cstheme="minorHAnsi"/>
                <w:color w:val="000000"/>
                <w:sz w:val="24"/>
                <w:szCs w:val="24"/>
              </w:rPr>
              <w:br/>
              <w:t>•Who and when the result was changed;</w:t>
            </w:r>
            <w:r w:rsidRPr="00DD0508">
              <w:rPr>
                <w:rFonts w:eastAsia="Times New Roman" w:cstheme="minorHAnsi"/>
                <w:color w:val="000000"/>
                <w:sz w:val="24"/>
                <w:szCs w:val="24"/>
              </w:rPr>
              <w:br/>
              <w:t>•Who and when the affected user was notified;</w:t>
            </w:r>
            <w:r w:rsidRPr="00DD0508">
              <w:rPr>
                <w:rFonts w:eastAsia="Times New Roman" w:cstheme="minorHAnsi"/>
                <w:color w:val="000000"/>
                <w:sz w:val="24"/>
                <w:szCs w:val="24"/>
              </w:rPr>
              <w:br/>
              <w:t>•Who and when laboratory management was notified.</w:t>
            </w:r>
            <w:r w:rsidRPr="00DD0508">
              <w:rPr>
                <w:rFonts w:eastAsia="Times New Roman" w:cstheme="minorHAnsi"/>
                <w:color w:val="000000"/>
                <w:sz w:val="24"/>
                <w:szCs w:val="24"/>
              </w:rPr>
              <w:br/>
            </w:r>
          </w:p>
        </w:tc>
      </w:tr>
      <w:tr w:rsidR="00DD0508" w:rsidRPr="00DD0508" w14:paraId="36BE5400" w14:textId="77777777" w:rsidTr="00DD0508">
        <w:trPr>
          <w:trHeight w:val="1150"/>
        </w:trPr>
        <w:tc>
          <w:tcPr>
            <w:tcW w:w="2580" w:type="dxa"/>
            <w:tcBorders>
              <w:top w:val="dotDotDash" w:sz="8" w:space="0" w:color="auto"/>
              <w:left w:val="nil"/>
              <w:bottom w:val="dotDotDash" w:sz="8" w:space="0" w:color="auto"/>
              <w:right w:val="nil"/>
            </w:tcBorders>
            <w:shd w:val="clear" w:color="auto" w:fill="auto"/>
            <w:hideMark/>
          </w:tcPr>
          <w:p w14:paraId="0C9D8D15"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Identification and Control of Nonconformities Process</w:t>
            </w:r>
          </w:p>
        </w:tc>
        <w:tc>
          <w:tcPr>
            <w:tcW w:w="6100" w:type="dxa"/>
            <w:tcBorders>
              <w:top w:val="dotDotDash" w:sz="8" w:space="0" w:color="auto"/>
              <w:left w:val="nil"/>
              <w:bottom w:val="dotDotDash" w:sz="8" w:space="0" w:color="auto"/>
              <w:right w:val="nil"/>
            </w:tcBorders>
            <w:shd w:val="clear" w:color="auto" w:fill="auto"/>
            <w:hideMark/>
          </w:tcPr>
          <w:p w14:paraId="133A182E"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 </w:t>
            </w:r>
          </w:p>
        </w:tc>
      </w:tr>
      <w:tr w:rsidR="00DD0508" w:rsidRPr="00DD0508" w14:paraId="53AC1A27" w14:textId="77777777" w:rsidTr="00DD0508">
        <w:trPr>
          <w:trHeight w:val="592"/>
        </w:trPr>
        <w:tc>
          <w:tcPr>
            <w:tcW w:w="2580" w:type="dxa"/>
            <w:tcBorders>
              <w:top w:val="nil"/>
              <w:left w:val="nil"/>
              <w:bottom w:val="single" w:sz="4" w:space="0" w:color="auto"/>
              <w:right w:val="nil"/>
            </w:tcBorders>
            <w:shd w:val="clear" w:color="auto" w:fill="auto"/>
            <w:hideMark/>
          </w:tcPr>
          <w:p w14:paraId="3EA9508A"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Record is collected.</w:t>
            </w:r>
          </w:p>
        </w:tc>
        <w:tc>
          <w:tcPr>
            <w:tcW w:w="6100" w:type="dxa"/>
            <w:tcBorders>
              <w:top w:val="nil"/>
              <w:left w:val="nil"/>
              <w:bottom w:val="single" w:sz="4" w:space="0" w:color="auto"/>
              <w:right w:val="nil"/>
            </w:tcBorders>
            <w:shd w:val="clear" w:color="auto" w:fill="auto"/>
            <w:hideMark/>
          </w:tcPr>
          <w:p w14:paraId="008399B3"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 xml:space="preserve"> A grouping of similar types of records compiled in an orderly fashion.</w:t>
            </w:r>
          </w:p>
        </w:tc>
      </w:tr>
      <w:tr w:rsidR="00DD0508" w:rsidRPr="00DD0508" w14:paraId="684DCEA4" w14:textId="77777777" w:rsidTr="00DD0508">
        <w:trPr>
          <w:trHeight w:val="1790"/>
        </w:trPr>
        <w:tc>
          <w:tcPr>
            <w:tcW w:w="2580" w:type="dxa"/>
            <w:tcBorders>
              <w:top w:val="nil"/>
              <w:left w:val="nil"/>
              <w:bottom w:val="nil"/>
              <w:right w:val="nil"/>
            </w:tcBorders>
            <w:shd w:val="clear" w:color="auto" w:fill="auto"/>
            <w:hideMark/>
          </w:tcPr>
          <w:p w14:paraId="0C7437DE"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Record is reviewed.</w:t>
            </w:r>
          </w:p>
        </w:tc>
        <w:tc>
          <w:tcPr>
            <w:tcW w:w="6100" w:type="dxa"/>
            <w:tcBorders>
              <w:top w:val="nil"/>
              <w:left w:val="nil"/>
              <w:bottom w:val="nil"/>
              <w:right w:val="nil"/>
            </w:tcBorders>
            <w:shd w:val="clear" w:color="auto" w:fill="auto"/>
            <w:hideMark/>
          </w:tcPr>
          <w:p w14:paraId="618FFB97" w14:textId="77777777" w:rsid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A quality or technical record is inspected against criteria at a defined frequency.  This inspection verifies the record is being generated and determines if all needed dates, times, personnel identification, results, conclusions, and any required follow-up was documented correctly.  Both the inspection and resolution are documented.</w:t>
            </w:r>
          </w:p>
          <w:p w14:paraId="6BB3B5AE" w14:textId="77777777" w:rsidR="00DD0508" w:rsidRPr="00DD0508" w:rsidRDefault="00DD0508" w:rsidP="00DD0508">
            <w:pPr>
              <w:spacing w:after="0" w:line="240" w:lineRule="auto"/>
              <w:rPr>
                <w:rFonts w:eastAsia="Times New Roman" w:cstheme="minorHAnsi"/>
                <w:color w:val="000000"/>
                <w:sz w:val="24"/>
                <w:szCs w:val="24"/>
              </w:rPr>
            </w:pPr>
          </w:p>
        </w:tc>
      </w:tr>
      <w:tr w:rsidR="00DD0508" w:rsidRPr="00DD0508" w14:paraId="179BE5D7" w14:textId="77777777" w:rsidTr="00DD0508">
        <w:trPr>
          <w:trHeight w:val="1150"/>
        </w:trPr>
        <w:tc>
          <w:tcPr>
            <w:tcW w:w="2580" w:type="dxa"/>
            <w:tcBorders>
              <w:top w:val="dotDotDash" w:sz="8" w:space="0" w:color="auto"/>
              <w:left w:val="nil"/>
              <w:bottom w:val="dotDotDash" w:sz="8" w:space="0" w:color="auto"/>
              <w:right w:val="nil"/>
            </w:tcBorders>
            <w:shd w:val="clear" w:color="auto" w:fill="auto"/>
            <w:hideMark/>
          </w:tcPr>
          <w:p w14:paraId="0BFD624B"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Identification and Control of Nonconformities Process</w:t>
            </w:r>
          </w:p>
        </w:tc>
        <w:tc>
          <w:tcPr>
            <w:tcW w:w="6100" w:type="dxa"/>
            <w:tcBorders>
              <w:top w:val="dotDotDash" w:sz="8" w:space="0" w:color="auto"/>
              <w:left w:val="nil"/>
              <w:bottom w:val="dotDotDash" w:sz="8" w:space="0" w:color="auto"/>
              <w:right w:val="nil"/>
            </w:tcBorders>
            <w:shd w:val="clear" w:color="auto" w:fill="auto"/>
            <w:hideMark/>
          </w:tcPr>
          <w:p w14:paraId="12B07C44"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 </w:t>
            </w:r>
          </w:p>
        </w:tc>
      </w:tr>
      <w:tr w:rsidR="00DD0508" w:rsidRPr="00DD0508" w14:paraId="233F0694" w14:textId="77777777" w:rsidTr="00DD0508">
        <w:trPr>
          <w:trHeight w:val="610"/>
        </w:trPr>
        <w:tc>
          <w:tcPr>
            <w:tcW w:w="2580" w:type="dxa"/>
            <w:tcBorders>
              <w:top w:val="nil"/>
              <w:left w:val="nil"/>
              <w:bottom w:val="single" w:sz="4" w:space="0" w:color="auto"/>
              <w:right w:val="nil"/>
            </w:tcBorders>
            <w:shd w:val="clear" w:color="auto" w:fill="auto"/>
            <w:hideMark/>
          </w:tcPr>
          <w:p w14:paraId="52CD383B" w14:textId="77777777" w:rsid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Record is indexed.</w:t>
            </w:r>
          </w:p>
          <w:p w14:paraId="25F30215" w14:textId="77777777" w:rsidR="00DD0508" w:rsidRDefault="00DD0508" w:rsidP="00DD0508">
            <w:pPr>
              <w:spacing w:after="0" w:line="240" w:lineRule="auto"/>
              <w:rPr>
                <w:rFonts w:eastAsia="Times New Roman" w:cstheme="minorHAnsi"/>
                <w:color w:val="000000"/>
                <w:sz w:val="24"/>
                <w:szCs w:val="24"/>
              </w:rPr>
            </w:pPr>
          </w:p>
          <w:p w14:paraId="76A3A084" w14:textId="77777777" w:rsidR="00DD0508" w:rsidRPr="00DD0508" w:rsidRDefault="00DD0508" w:rsidP="00DD0508">
            <w:pPr>
              <w:spacing w:after="0" w:line="240" w:lineRule="auto"/>
              <w:rPr>
                <w:rFonts w:eastAsia="Times New Roman" w:cstheme="minorHAnsi"/>
                <w:color w:val="000000"/>
                <w:sz w:val="24"/>
                <w:szCs w:val="24"/>
              </w:rPr>
            </w:pPr>
          </w:p>
        </w:tc>
        <w:tc>
          <w:tcPr>
            <w:tcW w:w="6100" w:type="dxa"/>
            <w:tcBorders>
              <w:top w:val="nil"/>
              <w:left w:val="nil"/>
              <w:bottom w:val="single" w:sz="4" w:space="0" w:color="auto"/>
              <w:right w:val="nil"/>
            </w:tcBorders>
            <w:shd w:val="clear" w:color="auto" w:fill="auto"/>
            <w:hideMark/>
          </w:tcPr>
          <w:p w14:paraId="7E51CD54"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The record is sorted with other similar records in such a way that it easily can be retrieved and cross-referenced.</w:t>
            </w:r>
          </w:p>
        </w:tc>
      </w:tr>
      <w:tr w:rsidR="00DD0508" w:rsidRPr="00DD0508" w14:paraId="44DBC147" w14:textId="77777777" w:rsidTr="00DD0508">
        <w:trPr>
          <w:trHeight w:val="1250"/>
        </w:trPr>
        <w:tc>
          <w:tcPr>
            <w:tcW w:w="2580" w:type="dxa"/>
            <w:tcBorders>
              <w:top w:val="single" w:sz="4" w:space="0" w:color="auto"/>
              <w:left w:val="nil"/>
              <w:bottom w:val="single" w:sz="4" w:space="0" w:color="auto"/>
              <w:right w:val="nil"/>
            </w:tcBorders>
            <w:shd w:val="clear" w:color="auto" w:fill="auto"/>
            <w:hideMark/>
          </w:tcPr>
          <w:p w14:paraId="33C8D91A"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lastRenderedPageBreak/>
              <w:t>Record is stored in short-term storage.</w:t>
            </w:r>
          </w:p>
        </w:tc>
        <w:tc>
          <w:tcPr>
            <w:tcW w:w="6100" w:type="dxa"/>
            <w:tcBorders>
              <w:top w:val="single" w:sz="4" w:space="0" w:color="auto"/>
              <w:left w:val="nil"/>
              <w:bottom w:val="single" w:sz="4" w:space="0" w:color="auto"/>
              <w:right w:val="nil"/>
            </w:tcBorders>
            <w:shd w:val="clear" w:color="auto" w:fill="auto"/>
            <w:hideMark/>
          </w:tcPr>
          <w:p w14:paraId="3B3D9722"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 xml:space="preserve">The record is placed in an interim location </w:t>
            </w:r>
            <w:proofErr w:type="gramStart"/>
            <w:r w:rsidRPr="00DD0508">
              <w:rPr>
                <w:rFonts w:eastAsia="Times New Roman" w:cstheme="minorHAnsi"/>
                <w:color w:val="000000"/>
                <w:sz w:val="24"/>
                <w:szCs w:val="24"/>
              </w:rPr>
              <w:t>that  is</w:t>
            </w:r>
            <w:proofErr w:type="gramEnd"/>
            <w:r w:rsidRPr="00DD0508">
              <w:rPr>
                <w:rFonts w:eastAsia="Times New Roman" w:cstheme="minorHAnsi"/>
                <w:color w:val="000000"/>
                <w:sz w:val="24"/>
                <w:szCs w:val="24"/>
              </w:rPr>
              <w:t xml:space="preserve"> more readily accessible than the long-term storage. A safe environment prevents damage, deterioration or loss, and unauthorized access to the record.  </w:t>
            </w:r>
          </w:p>
        </w:tc>
      </w:tr>
      <w:tr w:rsidR="00DD0508" w:rsidRPr="00DD0508" w14:paraId="45C3B551" w14:textId="77777777" w:rsidTr="00DD0508">
        <w:trPr>
          <w:trHeight w:val="1457"/>
        </w:trPr>
        <w:tc>
          <w:tcPr>
            <w:tcW w:w="2580" w:type="dxa"/>
            <w:tcBorders>
              <w:top w:val="nil"/>
              <w:left w:val="nil"/>
              <w:bottom w:val="single" w:sz="4" w:space="0" w:color="auto"/>
              <w:right w:val="nil"/>
            </w:tcBorders>
            <w:shd w:val="clear" w:color="auto" w:fill="auto"/>
            <w:hideMark/>
          </w:tcPr>
          <w:p w14:paraId="3D929709"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Record is transformed, if applicable.</w:t>
            </w:r>
          </w:p>
        </w:tc>
        <w:tc>
          <w:tcPr>
            <w:tcW w:w="6100" w:type="dxa"/>
            <w:tcBorders>
              <w:top w:val="nil"/>
              <w:left w:val="nil"/>
              <w:bottom w:val="single" w:sz="4" w:space="0" w:color="auto"/>
              <w:right w:val="nil"/>
            </w:tcBorders>
            <w:shd w:val="clear" w:color="auto" w:fill="auto"/>
            <w:hideMark/>
          </w:tcPr>
          <w:p w14:paraId="3BB910BB"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The record is converted into a different medium or format so that it remains accessible for the remaining retention period.  All software versions selected for electronic files must be able to open with newer versions throughout the retention period of the record.</w:t>
            </w:r>
          </w:p>
        </w:tc>
      </w:tr>
      <w:tr w:rsidR="00DD0508" w:rsidRPr="00DD0508" w14:paraId="3093897A" w14:textId="77777777" w:rsidTr="00DD0508">
        <w:trPr>
          <w:trHeight w:val="1160"/>
        </w:trPr>
        <w:tc>
          <w:tcPr>
            <w:tcW w:w="2580" w:type="dxa"/>
            <w:tcBorders>
              <w:top w:val="nil"/>
              <w:left w:val="nil"/>
              <w:bottom w:val="single" w:sz="4" w:space="0" w:color="auto"/>
              <w:right w:val="nil"/>
            </w:tcBorders>
            <w:shd w:val="clear" w:color="auto" w:fill="auto"/>
            <w:hideMark/>
          </w:tcPr>
          <w:p w14:paraId="000FC709"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Record is kept in long-term storage.</w:t>
            </w:r>
          </w:p>
        </w:tc>
        <w:tc>
          <w:tcPr>
            <w:tcW w:w="6100" w:type="dxa"/>
            <w:tcBorders>
              <w:top w:val="nil"/>
              <w:left w:val="nil"/>
              <w:bottom w:val="single" w:sz="4" w:space="0" w:color="auto"/>
              <w:right w:val="nil"/>
            </w:tcBorders>
            <w:shd w:val="clear" w:color="auto" w:fill="auto"/>
            <w:hideMark/>
          </w:tcPr>
          <w:p w14:paraId="7853593E"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 xml:space="preserve">The record is transferred to another location, </w:t>
            </w:r>
            <w:proofErr w:type="gramStart"/>
            <w:r w:rsidRPr="00DD0508">
              <w:rPr>
                <w:rFonts w:eastAsia="Times New Roman" w:cstheme="minorHAnsi"/>
                <w:color w:val="000000"/>
                <w:sz w:val="24"/>
                <w:szCs w:val="24"/>
              </w:rPr>
              <w:t>This</w:t>
            </w:r>
            <w:proofErr w:type="gramEnd"/>
            <w:r w:rsidRPr="00DD0508">
              <w:rPr>
                <w:rFonts w:eastAsia="Times New Roman" w:cstheme="minorHAnsi"/>
                <w:color w:val="000000"/>
                <w:sz w:val="24"/>
                <w:szCs w:val="24"/>
              </w:rPr>
              <w:t xml:space="preserve"> location meets safety, security, and access requirements.  Frequently, this new location is off-site from the laboratory facility. </w:t>
            </w:r>
          </w:p>
        </w:tc>
      </w:tr>
      <w:tr w:rsidR="00DD0508" w:rsidRPr="00DD0508" w14:paraId="6B39B9E4" w14:textId="77777777" w:rsidTr="00DD0508">
        <w:trPr>
          <w:trHeight w:val="602"/>
        </w:trPr>
        <w:tc>
          <w:tcPr>
            <w:tcW w:w="2580" w:type="dxa"/>
            <w:tcBorders>
              <w:top w:val="nil"/>
              <w:left w:val="nil"/>
              <w:bottom w:val="single" w:sz="4" w:space="0" w:color="auto"/>
              <w:right w:val="nil"/>
            </w:tcBorders>
            <w:shd w:val="clear" w:color="auto" w:fill="auto"/>
            <w:hideMark/>
          </w:tcPr>
          <w:p w14:paraId="270DC871"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Record is identified for destruction.</w:t>
            </w:r>
          </w:p>
        </w:tc>
        <w:tc>
          <w:tcPr>
            <w:tcW w:w="6100" w:type="dxa"/>
            <w:tcBorders>
              <w:top w:val="nil"/>
              <w:left w:val="nil"/>
              <w:bottom w:val="single" w:sz="4" w:space="0" w:color="auto"/>
              <w:right w:val="nil"/>
            </w:tcBorders>
            <w:shd w:val="clear" w:color="auto" w:fill="auto"/>
            <w:hideMark/>
          </w:tcPr>
          <w:p w14:paraId="56CF5697"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 xml:space="preserve">The last date of retention has been met for the stored record and acknowledged.  </w:t>
            </w:r>
          </w:p>
        </w:tc>
      </w:tr>
      <w:tr w:rsidR="00DD0508" w:rsidRPr="00DD0508" w14:paraId="4E19AA10" w14:textId="77777777" w:rsidTr="00DD0508">
        <w:trPr>
          <w:trHeight w:val="890"/>
        </w:trPr>
        <w:tc>
          <w:tcPr>
            <w:tcW w:w="2580" w:type="dxa"/>
            <w:tcBorders>
              <w:top w:val="nil"/>
              <w:left w:val="nil"/>
              <w:bottom w:val="single" w:sz="4" w:space="0" w:color="auto"/>
              <w:right w:val="nil"/>
            </w:tcBorders>
            <w:shd w:val="clear" w:color="auto" w:fill="auto"/>
            <w:hideMark/>
          </w:tcPr>
          <w:p w14:paraId="209D5445"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Record is destroyed.</w:t>
            </w:r>
          </w:p>
        </w:tc>
        <w:tc>
          <w:tcPr>
            <w:tcW w:w="6100" w:type="dxa"/>
            <w:tcBorders>
              <w:top w:val="nil"/>
              <w:left w:val="nil"/>
              <w:bottom w:val="single" w:sz="4" w:space="0" w:color="auto"/>
              <w:right w:val="nil"/>
            </w:tcBorders>
            <w:shd w:val="clear" w:color="auto" w:fill="auto"/>
            <w:hideMark/>
          </w:tcPr>
          <w:p w14:paraId="4EB69908"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 xml:space="preserve">The record is shredded or incinerated.  Throughout this step confidentiality is safeguarded. Information is captured </w:t>
            </w:r>
            <w:proofErr w:type="gramStart"/>
            <w:r w:rsidRPr="00DD0508">
              <w:rPr>
                <w:rFonts w:eastAsia="Times New Roman" w:cstheme="minorHAnsi"/>
                <w:color w:val="000000"/>
                <w:sz w:val="24"/>
                <w:szCs w:val="24"/>
              </w:rPr>
              <w:t>as  a</w:t>
            </w:r>
            <w:proofErr w:type="gramEnd"/>
            <w:r w:rsidRPr="00DD0508">
              <w:rPr>
                <w:rFonts w:eastAsia="Times New Roman" w:cstheme="minorHAnsi"/>
                <w:color w:val="000000"/>
                <w:sz w:val="24"/>
                <w:szCs w:val="24"/>
              </w:rPr>
              <w:t xml:space="preserve"> separate record documenting the record was terminated.</w:t>
            </w:r>
          </w:p>
        </w:tc>
      </w:tr>
      <w:tr w:rsidR="00DD0508" w:rsidRPr="00DD0508" w14:paraId="158E62D7" w14:textId="77777777" w:rsidTr="00DD0508">
        <w:trPr>
          <w:trHeight w:val="890"/>
        </w:trPr>
        <w:tc>
          <w:tcPr>
            <w:tcW w:w="2580" w:type="dxa"/>
            <w:tcBorders>
              <w:top w:val="nil"/>
              <w:left w:val="nil"/>
              <w:bottom w:val="single" w:sz="4" w:space="0" w:color="auto"/>
              <w:right w:val="nil"/>
            </w:tcBorders>
            <w:shd w:val="clear" w:color="auto" w:fill="auto"/>
            <w:hideMark/>
          </w:tcPr>
          <w:p w14:paraId="499DFFB4"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Documentation of record destruction is kept</w:t>
            </w:r>
          </w:p>
        </w:tc>
        <w:tc>
          <w:tcPr>
            <w:tcW w:w="6100" w:type="dxa"/>
            <w:tcBorders>
              <w:top w:val="nil"/>
              <w:left w:val="nil"/>
              <w:bottom w:val="single" w:sz="4" w:space="0" w:color="auto"/>
              <w:right w:val="nil"/>
            </w:tcBorders>
            <w:shd w:val="clear" w:color="auto" w:fill="auto"/>
            <w:noWrap/>
            <w:hideMark/>
          </w:tcPr>
          <w:p w14:paraId="4D6778B4"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 </w:t>
            </w:r>
          </w:p>
        </w:tc>
      </w:tr>
      <w:tr w:rsidR="00DD0508" w:rsidRPr="00DD0508" w14:paraId="39F9550B" w14:textId="77777777" w:rsidTr="00DD0508">
        <w:trPr>
          <w:trHeight w:val="2950"/>
        </w:trPr>
        <w:tc>
          <w:tcPr>
            <w:tcW w:w="2580" w:type="dxa"/>
            <w:tcBorders>
              <w:top w:val="dotDotDash" w:sz="8" w:space="0" w:color="auto"/>
              <w:left w:val="nil"/>
              <w:bottom w:val="dotDotDash" w:sz="8" w:space="0" w:color="auto"/>
              <w:right w:val="nil"/>
            </w:tcBorders>
            <w:shd w:val="clear" w:color="auto" w:fill="auto"/>
            <w:hideMark/>
          </w:tcPr>
          <w:p w14:paraId="12729698"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Record Control Index Process</w:t>
            </w:r>
          </w:p>
        </w:tc>
        <w:tc>
          <w:tcPr>
            <w:tcW w:w="6100" w:type="dxa"/>
            <w:tcBorders>
              <w:top w:val="dotDotDash" w:sz="8" w:space="0" w:color="auto"/>
              <w:left w:val="nil"/>
              <w:bottom w:val="dotDotDash" w:sz="8" w:space="0" w:color="auto"/>
              <w:right w:val="nil"/>
            </w:tcBorders>
            <w:shd w:val="clear" w:color="auto" w:fill="auto"/>
            <w:hideMark/>
          </w:tcPr>
          <w:p w14:paraId="5107F971" w14:textId="77777777" w:rsidR="00DD0508" w:rsidRPr="00DD0508" w:rsidRDefault="00DD0508" w:rsidP="00DD0508">
            <w:pPr>
              <w:spacing w:after="0" w:line="240" w:lineRule="auto"/>
              <w:rPr>
                <w:rFonts w:eastAsia="Times New Roman" w:cstheme="minorHAnsi"/>
                <w:color w:val="000000"/>
                <w:sz w:val="24"/>
                <w:szCs w:val="24"/>
              </w:rPr>
            </w:pPr>
            <w:r w:rsidRPr="00DD0508">
              <w:rPr>
                <w:rFonts w:eastAsia="Times New Roman" w:cstheme="minorHAnsi"/>
                <w:color w:val="000000"/>
                <w:sz w:val="24"/>
                <w:szCs w:val="24"/>
              </w:rPr>
              <w:t xml:space="preserve">After management identifies the required quality and technical records to control, an index outlining the following:  </w:t>
            </w:r>
            <w:r w:rsidRPr="00DD0508">
              <w:rPr>
                <w:rFonts w:eastAsia="Times New Roman" w:cstheme="minorHAnsi"/>
                <w:color w:val="000000"/>
                <w:sz w:val="24"/>
                <w:szCs w:val="24"/>
              </w:rPr>
              <w:br/>
              <w:t xml:space="preserve">•The record type;           </w:t>
            </w:r>
            <w:r w:rsidRPr="00DD0508">
              <w:rPr>
                <w:rFonts w:eastAsia="Times New Roman" w:cstheme="minorHAnsi"/>
                <w:color w:val="000000"/>
                <w:sz w:val="24"/>
                <w:szCs w:val="24"/>
              </w:rPr>
              <w:br/>
              <w:t>•The reviewer assigned by job title;</w:t>
            </w:r>
            <w:r w:rsidRPr="00DD0508">
              <w:rPr>
                <w:rFonts w:eastAsia="Times New Roman" w:cstheme="minorHAnsi"/>
                <w:color w:val="000000"/>
                <w:sz w:val="24"/>
                <w:szCs w:val="24"/>
              </w:rPr>
              <w:br/>
              <w:t>•The frequency of review;</w:t>
            </w:r>
            <w:r w:rsidRPr="00DD0508">
              <w:rPr>
                <w:rFonts w:eastAsia="Times New Roman" w:cstheme="minorHAnsi"/>
                <w:color w:val="000000"/>
                <w:sz w:val="24"/>
                <w:szCs w:val="24"/>
              </w:rPr>
              <w:br/>
              <w:t>•The record retention time;</w:t>
            </w:r>
            <w:r w:rsidRPr="00DD0508">
              <w:rPr>
                <w:rFonts w:eastAsia="Times New Roman" w:cstheme="minorHAnsi"/>
                <w:color w:val="000000"/>
                <w:sz w:val="24"/>
                <w:szCs w:val="24"/>
              </w:rPr>
              <w:br/>
              <w:t>•Interim storage and medium used;</w:t>
            </w:r>
            <w:r w:rsidRPr="00DD0508">
              <w:rPr>
                <w:rFonts w:eastAsia="Times New Roman" w:cstheme="minorHAnsi"/>
                <w:color w:val="000000"/>
                <w:sz w:val="24"/>
                <w:szCs w:val="24"/>
              </w:rPr>
              <w:br/>
              <w:t>•Long-term storage and medium used;</w:t>
            </w:r>
            <w:r w:rsidRPr="00DD0508">
              <w:rPr>
                <w:rFonts w:eastAsia="Times New Roman" w:cstheme="minorHAnsi"/>
                <w:color w:val="000000"/>
                <w:sz w:val="24"/>
                <w:szCs w:val="24"/>
              </w:rPr>
              <w:br/>
              <w:t>is established, implemented and maintained.</w:t>
            </w:r>
          </w:p>
        </w:tc>
      </w:tr>
    </w:tbl>
    <w:p w14:paraId="2D405D8A" w14:textId="77777777" w:rsidR="00F73591" w:rsidRPr="00DD0508" w:rsidRDefault="00F73591">
      <w:pPr>
        <w:rPr>
          <w:rFonts w:cstheme="minorHAnsi"/>
          <w:sz w:val="24"/>
          <w:szCs w:val="24"/>
        </w:rPr>
      </w:pPr>
    </w:p>
    <w:sectPr w:rsidR="00F73591" w:rsidRPr="00DD0508" w:rsidSect="0002330A">
      <w:pgSz w:w="11907" w:h="16839" w:code="9"/>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D0508"/>
    <w:rsid w:val="0002330A"/>
    <w:rsid w:val="00DD0508"/>
    <w:rsid w:val="00EA3053"/>
    <w:rsid w:val="00F7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5FB5"/>
  <w15:docId w15:val="{48890117-5426-4438-B8FB-43BA64DC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09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dc:creator>
  <cp:keywords/>
  <dc:description/>
  <cp:lastModifiedBy>Yao, Katy (CDC/DDPHSIS/CGH/DGHT)</cp:lastModifiedBy>
  <cp:revision>3</cp:revision>
  <dcterms:created xsi:type="dcterms:W3CDTF">2020-09-27T18:09:00Z</dcterms:created>
  <dcterms:modified xsi:type="dcterms:W3CDTF">2020-09-30T18:27:00Z</dcterms:modified>
</cp:coreProperties>
</file>